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spacing w:val="3"/>
          <w:sz w:val="44"/>
          <w:szCs w:val="44"/>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spacing w:val="3"/>
          <w:sz w:val="48"/>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网上挂牌</w:t>
      </w:r>
      <w:r>
        <w:rPr>
          <w:rFonts w:hint="eastAsia" w:ascii="方正小标宋_GBK" w:hAnsi="华文中宋" w:eastAsia="方正小标宋_GBK"/>
          <w:b/>
          <w:bCs/>
          <w:sz w:val="44"/>
          <w:szCs w:val="44"/>
          <w:highlight w:val="none"/>
          <w:shd w:val="clear" w:color="auto" w:fill="auto"/>
        </w:rPr>
        <w:t>出让须知</w:t>
      </w:r>
    </w:p>
    <w:p>
      <w:pPr>
        <w:shd w:val="clear"/>
        <w:spacing w:line="600" w:lineRule="exact"/>
        <w:jc w:val="center"/>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惠公易土市直[20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006</w:t>
      </w:r>
      <w:r>
        <w:rPr>
          <w:rFonts w:hint="eastAsia" w:ascii="仿宋_GB2312" w:hAnsi="仿宋_GB2312" w:eastAsia="仿宋_GB2312" w:cs="仿宋_GB2312"/>
          <w:sz w:val="32"/>
          <w:szCs w:val="32"/>
          <w:highlight w:val="none"/>
          <w:shd w:val="clear" w:color="auto" w:fill="auto"/>
        </w:rPr>
        <w:t>号</w:t>
      </w:r>
    </w:p>
    <w:p>
      <w:pPr>
        <w:shd w:val="clear"/>
        <w:rPr>
          <w:rFonts w:ascii="仿宋_GB2312" w:hAnsi="仿宋_GB2312" w:eastAsia="仿宋_GB2312" w:cs="仿宋_GB2312"/>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人民政府批准，受惠州市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sz w:val="32"/>
          <w:szCs w:val="32"/>
          <w:highlight w:val="none"/>
          <w:shd w:val="clear" w:color="auto" w:fill="auto"/>
          <w:lang w:val="en-US" w:eastAsia="zh-CN"/>
        </w:rPr>
        <w:t>惠城区</w:t>
      </w:r>
      <w:r>
        <w:rPr>
          <w:rFonts w:hint="eastAsia" w:ascii="仿宋_GB2312" w:hAnsi="仿宋_GB2312" w:eastAsia="仿宋_GB2312" w:cs="仿宋_GB2312"/>
          <w:b/>
          <w:bCs/>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三、出让地块的基本情况及规划指标要求</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（一）挂牌地块编号：GP20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（二）地块位置：惠城区高新科技产业园鹿岗片区LG01-01-01地块；</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（三）地块编号：LG01-01-01；</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（四）地块范围：平面界址点以宗地图为准，宗地竖向界限以《</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rPr>
        <w:t>》（PB202</w:t>
      </w:r>
      <w:r>
        <w:rPr>
          <w:rFonts w:hint="eastAsia" w:ascii="仿宋_GB2312" w:hAnsi="仿宋_GB2312" w:eastAsia="仿宋_GB2312" w:cs="仿宋_GB2312"/>
          <w:sz w:val="32"/>
          <w:szCs w:val="32"/>
          <w:highlight w:val="none"/>
          <w:shd w:val="clear" w:color="auto" w:fill="auto"/>
          <w:lang w:val="en-US" w:eastAsia="zh-CN"/>
        </w:rPr>
        <w:t>10084号</w:t>
      </w:r>
      <w:r>
        <w:rPr>
          <w:rFonts w:hint="eastAsia" w:ascii="仿宋_GB2312" w:hAnsi="仿宋_GB2312" w:eastAsia="仿宋_GB2312" w:cs="仿宋_GB2312"/>
          <w:sz w:val="32"/>
          <w:szCs w:val="32"/>
          <w:highlight w:val="none"/>
          <w:shd w:val="clear" w:color="auto" w:fill="auto"/>
        </w:rPr>
        <w:t>）规定为准；</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宗地使用权面积为：46266.74平方米；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（六）计算指标用地面积为：52623平方米；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（七）计容积率建筑面积：84197-131557平方米（其中配套设施建筑面积≥100平方米）；</w:t>
      </w:r>
    </w:p>
    <w:p>
      <w:pPr>
        <w:shd w:val="clear"/>
        <w:tabs>
          <w:tab w:val="left" w:pos="3388"/>
        </w:tabs>
        <w:spacing w:line="560" w:lineRule="exact"/>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（八）容积率为：1.6</w:t>
      </w:r>
      <w:r>
        <w:rPr>
          <w:rFonts w:hint="default"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2</w:t>
      </w:r>
      <w:r>
        <w:rPr>
          <w:rFonts w:hint="default"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5；</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（九）建筑密度为：≥30%；</w:t>
      </w:r>
    </w:p>
    <w:p>
      <w:pPr>
        <w:shd w:val="clear"/>
        <w:tabs>
          <w:tab w:val="left" w:pos="3388"/>
        </w:tabs>
        <w:spacing w:line="560" w:lineRule="exact"/>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十）机动车停车位配建标准：行政办公及生活服务设施每100平方米计容积率建筑面积≥1个，厂房每100平方米计容积率建筑面积≥0.3个，停车场须按不低于总停车位的10%的比例配置充电设施；</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十一</w:t>
      </w:r>
      <w:r>
        <w:rPr>
          <w:rFonts w:hint="eastAsia" w:ascii="仿宋_GB2312" w:hAnsi="仿宋_GB2312" w:eastAsia="仿宋_GB2312" w:cs="仿宋_GB2312"/>
          <w:sz w:val="32"/>
          <w:szCs w:val="32"/>
          <w:highlight w:val="none"/>
          <w:shd w:val="clear" w:color="auto" w:fill="auto"/>
        </w:rPr>
        <w:t>）土地用途为：</w:t>
      </w:r>
      <w:r>
        <w:rPr>
          <w:rFonts w:hint="eastAsia" w:ascii="仿宋_GB2312" w:hAnsi="仿宋_GB2312" w:eastAsia="仿宋_GB2312" w:cs="仿宋_GB2312"/>
          <w:sz w:val="32"/>
          <w:szCs w:val="32"/>
          <w:highlight w:val="none"/>
          <w:shd w:val="clear" w:color="auto" w:fill="auto"/>
          <w:lang w:val="en-US" w:eastAsia="zh-CN"/>
        </w:rPr>
        <w:t>一类工业用地</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）土地使用权出让年</w:t>
      </w:r>
      <w:r>
        <w:rPr>
          <w:rFonts w:hint="eastAsia" w:ascii="仿宋_GB2312" w:hAnsi="仿宋_GB2312" w:eastAsia="仿宋_GB2312" w:cs="仿宋_GB2312"/>
          <w:sz w:val="32"/>
          <w:szCs w:val="32"/>
          <w:highlight w:val="none"/>
          <w:shd w:val="clear" w:color="auto" w:fill="auto"/>
          <w:lang w:val="en-US" w:eastAsia="zh-CN"/>
        </w:rPr>
        <w:t>限</w:t>
      </w:r>
      <w:r>
        <w:rPr>
          <w:rFonts w:hint="eastAsia" w:ascii="仿宋_GB2312" w:hAnsi="仿宋_GB2312" w:eastAsia="仿宋_GB2312" w:cs="仿宋_GB2312"/>
          <w:sz w:val="32"/>
          <w:szCs w:val="32"/>
          <w:highlight w:val="none"/>
          <w:shd w:val="clear" w:color="auto" w:fill="auto"/>
        </w:rPr>
        <w:t>为：</w:t>
      </w:r>
      <w:r>
        <w:rPr>
          <w:rFonts w:hint="eastAsia" w:ascii="仿宋_GB2312" w:hAnsi="仿宋_GB2312" w:eastAsia="仿宋_GB2312" w:cs="仿宋_GB2312"/>
          <w:sz w:val="32"/>
          <w:szCs w:val="32"/>
          <w:highlight w:val="none"/>
          <w:shd w:val="clear" w:color="auto" w:fill="auto"/>
          <w:lang w:val="en-US" w:eastAsia="zh-CN"/>
        </w:rPr>
        <w:t>50年</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产业类型</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其他制造业用地</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 动工及竣工时间：该地块动工时间为地块交付之日起一年内，竣工时间为土地交付之日起三年内（因不可抗拒因素除外）；</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 xml:space="preserve">）本地块交付时间为《国有土地使用权出让合同》签订之日。 </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四、土地开发及使用规定</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（一）开发投资总额不少于</w:t>
      </w:r>
      <w:r>
        <w:rPr>
          <w:rFonts w:hint="eastAsia" w:ascii="仿宋_GB2312" w:hAnsi="仿宋_GB2312" w:eastAsia="仿宋_GB2312" w:cs="仿宋_GB2312"/>
          <w:sz w:val="32"/>
          <w:szCs w:val="32"/>
          <w:highlight w:val="none"/>
          <w:shd w:val="clear" w:color="auto" w:fill="auto"/>
          <w:lang w:val="en-US" w:eastAsia="zh-CN"/>
        </w:rPr>
        <w:t>78934.5</w:t>
      </w:r>
      <w:r>
        <w:rPr>
          <w:rFonts w:hint="eastAsia" w:ascii="仿宋_GB2312" w:hAnsi="仿宋_GB2312" w:eastAsia="仿宋_GB2312" w:cs="仿宋_GB2312"/>
          <w:sz w:val="32"/>
          <w:szCs w:val="32"/>
          <w:highlight w:val="none"/>
          <w:shd w:val="clear" w:color="auto" w:fill="auto"/>
        </w:rPr>
        <w:t>万元（含地价）。</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w:t>
      </w:r>
      <w:r>
        <w:rPr>
          <w:rFonts w:hint="eastAsia" w:ascii="仿宋_GB2312" w:hAnsi="仿宋_GB2312" w:eastAsia="仿宋_GB2312" w:cs="仿宋_GB2312"/>
          <w:sz w:val="32"/>
          <w:szCs w:val="32"/>
          <w:highlight w:val="none"/>
          <w:shd w:val="clear" w:color="auto" w:fill="auto"/>
          <w:lang w:val="en-US" w:eastAsia="zh-CN"/>
        </w:rPr>
        <w:t>竞得人在用地红线内开发建设必须符合城市规划要求，必须按《建设用地规划设计条件》（案卷编号：</w:t>
      </w:r>
      <w:r>
        <w:rPr>
          <w:rFonts w:hint="eastAsia" w:ascii="仿宋_GB2312" w:hAnsi="仿宋_GB2312" w:eastAsia="仿宋_GB2312" w:cs="仿宋_GB2312"/>
          <w:sz w:val="32"/>
          <w:szCs w:val="32"/>
          <w:highlight w:val="none"/>
          <w:shd w:val="clear" w:color="auto" w:fill="auto"/>
        </w:rPr>
        <w:t>PB202100</w:t>
      </w:r>
      <w:r>
        <w:rPr>
          <w:rFonts w:hint="eastAsia" w:ascii="仿宋_GB2312" w:hAnsi="仿宋_GB2312" w:eastAsia="仿宋_GB2312" w:cs="仿宋_GB2312"/>
          <w:sz w:val="32"/>
          <w:szCs w:val="32"/>
          <w:highlight w:val="none"/>
          <w:shd w:val="clear" w:color="auto" w:fill="auto"/>
          <w:lang w:val="en-US" w:eastAsia="zh-CN"/>
        </w:rPr>
        <w:t>84）的规划控制指标要求及有关规定进行规划设计</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eastAsia="zh-CN"/>
        </w:rPr>
        <w:t>三</w:t>
      </w:r>
      <w:r>
        <w:rPr>
          <w:rFonts w:hint="eastAsia" w:ascii="仿宋_GB2312" w:hAnsi="仿宋_GB2312" w:eastAsia="仿宋_GB2312" w:cs="仿宋_GB2312"/>
          <w:sz w:val="32"/>
          <w:szCs w:val="32"/>
          <w:highlight w:val="none"/>
          <w:shd w:val="clear" w:color="auto" w:fill="auto"/>
        </w:rPr>
        <w:t>）土地成交价款须以人民币支付,竞得人在签订《出让合同》之日起30日内付清全部成交价款。</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eastAsia="zh-CN"/>
        </w:rPr>
        <w:t>四</w:t>
      </w:r>
      <w:r>
        <w:rPr>
          <w:rFonts w:hint="eastAsia" w:ascii="仿宋_GB2312" w:hAnsi="仿宋_GB2312" w:eastAsia="仿宋_GB2312" w:cs="仿宋_GB2312"/>
          <w:sz w:val="32"/>
          <w:szCs w:val="32"/>
          <w:highlight w:val="none"/>
          <w:shd w:val="clear" w:color="auto" w:fill="auto"/>
        </w:rPr>
        <w:t>）竞买人须提交惠城区发改局出具的与该宗地块产业类型一致的优先发展产业项目文件。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shd w:val="clear" w:color="auto" w:fill="auto"/>
          <w:lang w:val="en-US" w:eastAsia="zh-CN"/>
        </w:rPr>
      </w:pPr>
      <w:r>
        <w:rPr>
          <w:rFonts w:hint="eastAsia" w:ascii="仿宋_GB2312" w:hAnsi="仿宋_GB2312" w:eastAsia="仿宋_GB2312" w:cs="仿宋_GB2312"/>
          <w:color w:val="auto"/>
          <w:sz w:val="32"/>
          <w:szCs w:val="32"/>
          <w:lang w:eastAsia="zh-CN"/>
        </w:rPr>
        <w:t>所报总平面图的主要技术经济指标：规划建设20栋厂房（含地下设备用房）。计算指标用地面积为52623平方米，容积率2.21，建筑密度34.54%，绿地率15%，计容积率建筑面积116215.01平方米，总建筑面积117227.69平方米（其中地下室及设备配套用房建筑面积1012.68平方米），机动停车位349个、非机动停车位580个。所报方案各项经济技术指标符合《规划设计条件告知书》要求，须按程序进行公示，公示期未收到公众意见则同意所报总平面图及单体建筑设计方案。须做好管线综合设计报审，建筑设计须符合国家、省、市有关绿色建筑和建筑节能方面的技术规范和标准，须按海绵城市设计要求和市政府关于大力发展装配式建筑的实施意见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000000"/>
          <w:kern w:val="0"/>
          <w:sz w:val="32"/>
          <w:szCs w:val="32"/>
          <w:lang w:val="en-US" w:eastAsia="zh-CN"/>
        </w:rPr>
        <w:t>投资强度不低于15000元/平方米，土地产出率不低于20000元/平方米/年（其中，工业产值不低于10000元/平方米/年），税收产出不低于1208元/平方米/年。</w:t>
      </w:r>
      <w:r>
        <w:rPr>
          <w:rFonts w:hint="eastAsia" w:ascii="仿宋_GB2312" w:hAnsi="仿宋_GB2312" w:eastAsia="仿宋_GB2312" w:cs="仿宋_GB2312"/>
          <w:color w:val="auto"/>
          <w:sz w:val="32"/>
          <w:szCs w:val="32"/>
        </w:rPr>
        <w:t>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签订《国有建设用地交地确认书》在未通过指标评价考核之前，原则上不得转让土地使用权和变更开发主体公司股权。确需要转让土地使用权和变更开发主体公司股权的，除满足土地使用权转让和公司股权变更的法律法规政策规定和其他约定外，乙方须报请甲方审定同意，同时将宗地投资建设受本协议约束如实告知其受让方，协助受让方与甲方重新签订协议，并保证本协议的主体从乙方变更为其受让方。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b w:val="0"/>
          <w:bCs w:val="0"/>
          <w:color w:val="000000"/>
          <w:kern w:val="0"/>
          <w:sz w:val="32"/>
          <w:szCs w:val="32"/>
          <w:lang w:val="en-US" w:eastAsia="zh-CN"/>
        </w:rPr>
        <w:t>竞得人需与惠州市惠城区高新科技产业园管理委员会签订《项目实施监管协议书》并完成监管协议公证手续。</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约定条件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rPr>
        <w:t>取得惠城区高新园东江湾产业园鹿岗片区01单元中LG01-01-01、LG01-01-03、LG01-01-04地块使用权利人</w:t>
      </w:r>
      <w:r>
        <w:rPr>
          <w:rFonts w:hint="eastAsia" w:ascii="仿宋_GB2312" w:hAnsi="仿宋_GB2312" w:eastAsia="仿宋_GB2312" w:cs="仿宋_GB2312"/>
          <w:b w:val="0"/>
          <w:bCs w:val="0"/>
          <w:color w:val="000000"/>
          <w:kern w:val="0"/>
          <w:sz w:val="32"/>
          <w:szCs w:val="32"/>
        </w:rPr>
        <w:t>需</w:t>
      </w:r>
      <w:r>
        <w:rPr>
          <w:rFonts w:hint="eastAsia" w:ascii="仿宋_GB2312" w:hAnsi="仿宋_GB2312" w:eastAsia="仿宋_GB2312" w:cs="仿宋_GB2312"/>
          <w:b w:val="0"/>
          <w:bCs w:val="0"/>
          <w:color w:val="000000"/>
          <w:kern w:val="0"/>
          <w:sz w:val="32"/>
          <w:szCs w:val="32"/>
          <w:lang w:val="en-US" w:eastAsia="zh-CN"/>
        </w:rPr>
        <w:t>在地块范围内配建2个开关所配套用房。按照供电设计相关规范要求，在地块内</w:t>
      </w:r>
      <w:r>
        <w:rPr>
          <w:rFonts w:hint="eastAsia" w:ascii="仿宋_GB2312" w:hAnsi="仿宋_GB2312" w:eastAsia="仿宋_GB2312" w:cs="仿宋_GB2312"/>
          <w:b w:val="0"/>
          <w:bCs w:val="0"/>
          <w:color w:val="000000"/>
          <w:kern w:val="0"/>
          <w:sz w:val="32"/>
          <w:szCs w:val="32"/>
          <w:lang w:eastAsia="zh-CN"/>
        </w:rPr>
        <w:t>承担建筑面积≥</w:t>
      </w:r>
      <w:r>
        <w:rPr>
          <w:rFonts w:hint="eastAsia" w:ascii="仿宋_GB2312" w:hAnsi="仿宋_GB2312" w:eastAsia="仿宋_GB2312" w:cs="仿宋_GB2312"/>
          <w:b w:val="0"/>
          <w:bCs w:val="0"/>
          <w:color w:val="000000"/>
          <w:kern w:val="0"/>
          <w:sz w:val="32"/>
          <w:szCs w:val="32"/>
          <w:lang w:val="en-US" w:eastAsia="zh-CN"/>
        </w:rPr>
        <w:t>90㎡、建筑单独占地面积≥90㎡的园区供电开关站配套用房建设，建成后无偿移交给惠城区政府相关部门使用。</w:t>
      </w:r>
    </w:p>
    <w:p>
      <w:pPr>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textAlignment w:val="auto"/>
        <w:rPr>
          <w:rFonts w:hint="eastAsi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）竞得人在签订《成交确认书》前，须与惠城区高新科技产业园管委会签订《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》，并由惠城区高新科技产业园管委会对项目用地实施批后监管。</w:t>
      </w:r>
    </w:p>
    <w:p>
      <w:pPr>
        <w:shd w:val="clear"/>
        <w:tabs>
          <w:tab w:val="left" w:pos="3388"/>
        </w:tabs>
        <w:spacing w:line="560" w:lineRule="exact"/>
        <w:jc w:val="left"/>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b/>
          <w:bCs/>
          <w:kern w:val="2"/>
          <w:sz w:val="32"/>
          <w:szCs w:val="32"/>
          <w:highlight w:val="none"/>
          <w:shd w:val="clear" w:color="auto" w:fill="auto"/>
          <w:lang w:val="en-US" w:eastAsia="zh-CN" w:bidi="ar-SA"/>
        </w:rPr>
        <w:t>五、竞买资格及要求</w:t>
      </w:r>
    </w:p>
    <w:p>
      <w:pPr>
        <w:shd w:val="clear"/>
        <w:tabs>
          <w:tab w:val="left" w:pos="3388"/>
        </w:tabs>
        <w:spacing w:line="560" w:lineRule="exact"/>
        <w:ind w:firstLine="640" w:firstLineChars="200"/>
        <w:jc w:val="left"/>
        <w:rPr>
          <w:rFonts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中华人民共和国境内外的法人和其他组织（除法律法规另有规定外），均可申请参加竞买。申请人可以单独申请，也可以联合申请。申请人还应具备下列条件：</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lang w:val="en-US" w:eastAsia="zh-CN"/>
        </w:rPr>
        <w:t>一</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按时足额交纳竞买保证金</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竞买人缴交的竞买保证金为人民币</w:t>
      </w:r>
      <w:r>
        <w:rPr>
          <w:rFonts w:hint="eastAsia" w:ascii="仿宋_GB2312" w:hAnsi="仿宋_GB2312" w:eastAsia="仿宋_GB2312" w:cs="仿宋_GB2312"/>
          <w:kern w:val="0"/>
          <w:sz w:val="32"/>
          <w:szCs w:val="32"/>
          <w:highlight w:val="none"/>
          <w:shd w:val="clear" w:color="auto" w:fill="auto"/>
          <w:lang w:val="en-US" w:eastAsia="zh-CN"/>
        </w:rPr>
        <w:t>1587</w:t>
      </w:r>
      <w:r>
        <w:rPr>
          <w:rFonts w:hint="eastAsia" w:ascii="仿宋_GB2312" w:hAnsi="仿宋_GB2312" w:eastAsia="仿宋_GB2312" w:cs="仿宋_GB2312"/>
          <w:kern w:val="0"/>
          <w:sz w:val="32"/>
          <w:szCs w:val="32"/>
          <w:highlight w:val="none"/>
          <w:shd w:val="clear" w:color="auto" w:fill="auto"/>
        </w:rPr>
        <w:t>万元。</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val="en-US" w:eastAsia="zh-CN"/>
        </w:rPr>
        <w:t>（二）竞买人须提交惠城区发改局出具的与该宗地块规划确定的产业类型一致的优先发展产业项目文件。</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w:t>
      </w:r>
      <w:r>
        <w:rPr>
          <w:rFonts w:hint="eastAsia" w:ascii="仿宋_GB2312" w:hAnsi="仿宋_GB2312" w:eastAsia="仿宋_GB2312" w:cs="仿宋_GB2312"/>
          <w:kern w:val="0"/>
          <w:sz w:val="32"/>
          <w:szCs w:val="32"/>
          <w:highlight w:val="none"/>
          <w:shd w:val="clear" w:color="auto" w:fill="auto"/>
          <w:lang w:val="en-US" w:eastAsia="zh-CN"/>
        </w:rPr>
        <w:t>三</w:t>
      </w:r>
      <w:r>
        <w:rPr>
          <w:rFonts w:hint="eastAsia" w:ascii="仿宋_GB2312" w:hAnsi="仿宋_GB2312" w:eastAsia="仿宋_GB2312" w:cs="仿宋_GB2312"/>
          <w:kern w:val="0"/>
          <w:sz w:val="32"/>
          <w:szCs w:val="32"/>
          <w:highlight w:val="none"/>
          <w:shd w:val="clear" w:color="auto" w:fill="auto"/>
        </w:rPr>
        <w:t>）预先办理数字证书。本次国有建设用地使用权网上挂牌出让只能在互联网上，通过惠州市公共资源交易</w:t>
      </w:r>
      <w:r>
        <w:rPr>
          <w:rFonts w:hint="eastAsia" w:ascii="仿宋_GB2312" w:hAnsi="仿宋_GB2312" w:eastAsia="仿宋_GB2312" w:cs="仿宋_GB2312"/>
          <w:sz w:val="32"/>
          <w:szCs w:val="32"/>
          <w:highlight w:val="none"/>
          <w:shd w:val="clear" w:color="auto" w:fill="auto"/>
        </w:rPr>
        <w:t>中心土地与矿业网上挂牌交易系统（</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，以下简称“网上挂牌交易系统”）进行。只有通过网上注册、办理数字证书、按要求足额交付竞买保证金的申请人，才能参加网上挂牌交易活动。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lang w:val="en-US" w:eastAsia="zh-CN" w:bidi="ar-SA"/>
        </w:rPr>
        <w:t>存在下列违法违规违约行为之一的企业及其控股股东，不得参与竞买上述地块</w:t>
      </w:r>
      <w:r>
        <w:rPr>
          <w:rFonts w:hint="eastAsia" w:ascii="仿宋_GB2312" w:hAnsi="仿宋_GB2312" w:eastAsia="仿宋_GB2312" w:cs="仿宋_GB2312"/>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 w:hAnsi="仿宋" w:eastAsia="仿宋"/>
          <w:sz w:val="32"/>
          <w:szCs w:val="32"/>
          <w:lang w:val="en-US" w:eastAsia="zh-CN"/>
        </w:rPr>
        <w:t>5.</w:t>
      </w:r>
      <w:r>
        <w:rPr>
          <w:rFonts w:hint="eastAsia" w:ascii="仿宋" w:hAnsi="仿宋" w:eastAsia="仿宋"/>
          <w:sz w:val="32"/>
          <w:szCs w:val="32"/>
        </w:rPr>
        <w:t>拖欠政府地价款的单位不得参与竞买上述地块。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六、违约及处理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竞得人有下列行为之一的，视为违约，取消竞得人资格，</w:t>
      </w:r>
      <w:r>
        <w:rPr>
          <w:rFonts w:hint="eastAsia" w:ascii="仿宋_GB2312" w:hAnsi="仿宋_GB2312" w:eastAsia="仿宋_GB2312" w:cs="仿宋_GB2312"/>
          <w:sz w:val="32"/>
          <w:szCs w:val="32"/>
          <w:highlight w:val="none"/>
          <w:shd w:val="clear" w:color="auto" w:fill="auto"/>
          <w:lang w:val="en-US" w:eastAsia="zh-CN"/>
        </w:rPr>
        <w:t>定金不予退还,</w:t>
      </w:r>
      <w:r>
        <w:rPr>
          <w:rFonts w:hint="eastAsia" w:ascii="仿宋_GB2312" w:hAnsi="仿宋_GB2312" w:eastAsia="仿宋_GB2312" w:cs="仿宋_GB2312"/>
          <w:sz w:val="32"/>
          <w:szCs w:val="32"/>
          <w:highlight w:val="none"/>
          <w:shd w:val="clear" w:color="auto" w:fill="auto"/>
        </w:rPr>
        <w:t>并由有关部门依法处理;造成损失的，竞得人还应依法承担赔偿责任：</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（一）不符合竞买资格条件的。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（二）采取行贿、恶意串通等非法手段竞得的。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（三）竞得人以其他非法手段竞得的。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（四）竞得人逾期或拒绝签订《成交确认书》的。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（五）竞得人逾期或拒绝签订《出让合同》的。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（六）不按本须知规定提供有关纸质文件材料，或提供虚假文件材料、隐瞒重要事实，引起交易纠纷的。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（七）构成违约责任的其他行为。</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val="en-US" w:eastAsia="zh-CN"/>
        </w:rPr>
        <w:t>伍仟贰佰玖拾万元整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5290</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）,增价幅度为人民币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u w:val="single"/>
          <w:shd w:val="clear" w:color="auto" w:fill="auto"/>
        </w:rPr>
        <w:t>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3" w:name="104"/>
      <w:r>
        <w:rPr>
          <w:rFonts w:hint="eastAsia" w:ascii="仿宋_GB2312" w:hAnsi="仿宋_GB2312" w:eastAsia="仿宋_GB2312" w:cs="仿宋_GB2312"/>
          <w:b/>
          <w:bCs/>
          <w:sz w:val="32"/>
          <w:szCs w:val="32"/>
          <w:highlight w:val="none"/>
          <w:shd w:val="clear" w:color="auto" w:fill="auto"/>
        </w:rPr>
        <w:t>八、</w:t>
      </w:r>
      <w:bookmarkEnd w:id="3"/>
      <w:r>
        <w:rPr>
          <w:rFonts w:hint="eastAsia" w:ascii="仿宋_GB2312" w:hAnsi="仿宋_GB2312" w:eastAsia="仿宋_GB2312" w:cs="仿宋_GB2312"/>
          <w:b/>
          <w:bCs/>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（一）网上挂牌起始时间：</w:t>
      </w:r>
      <w:r>
        <w:rPr>
          <w:rFonts w:hint="eastAsia" w:ascii="仿宋_GB2312" w:hAnsi="仿宋_GB2312" w:eastAsia="仿宋_GB2312" w:cs="仿宋_GB2312"/>
          <w:sz w:val="32"/>
          <w:szCs w:val="32"/>
          <w:highlight w:val="none"/>
          <w:shd w:val="clear" w:color="auto" w:fill="auto"/>
          <w:lang w:val="en-US" w:eastAsia="zh-CN"/>
        </w:rPr>
        <w:t>2022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31</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（二）网上挂牌截止时间：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15</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10时。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（三）网上挂牌交纳保证金截止时间：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15</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PB20210084号</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惠州市</w:t>
      </w:r>
      <w:r>
        <w:rPr>
          <w:rFonts w:hint="eastAsia" w:ascii="仿宋_GB2312" w:hAnsi="仿宋_GB2312" w:eastAsia="仿宋_GB2312" w:cs="仿宋_GB2312"/>
          <w:sz w:val="32"/>
          <w:szCs w:val="32"/>
          <w:highlight w:val="none"/>
          <w:shd w:val="clear" w:color="auto" w:fill="auto"/>
          <w:lang w:val="en-US" w:eastAsia="zh-CN"/>
        </w:rPr>
        <w:t>国有建设用地使用权电子挂牌</w:t>
      </w:r>
      <w:r>
        <w:rPr>
          <w:rFonts w:hint="eastAsia" w:ascii="仿宋_GB2312" w:hAnsi="仿宋_GB2312" w:eastAsia="仿宋_GB2312" w:cs="仿宋_GB2312"/>
          <w:sz w:val="32"/>
          <w:szCs w:val="32"/>
          <w:highlight w:val="none"/>
          <w:shd w:val="clear" w:color="auto" w:fill="auto"/>
        </w:rPr>
        <w:t>交易成交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（以下简称“成交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val="en-US" w:eastAsia="zh-CN"/>
        </w:rPr>
        <w:t xml:space="preserve"> 8、</w:t>
      </w:r>
      <w:r>
        <w:rPr>
          <w:rFonts w:hint="eastAsia" w:ascii="仿宋_GB2312" w:hAnsi="仿宋_GB2312" w:eastAsia="仿宋_GB2312" w:cs="仿宋_GB2312"/>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9、其他相关文件</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sz w:val="32"/>
          <w:szCs w:val="32"/>
          <w:highlight w:val="none"/>
          <w:shd w:val="clear" w:color="auto" w:fill="auto"/>
        </w:rPr>
        <w:t>，电话：0752-</w:t>
      </w:r>
      <w:r>
        <w:rPr>
          <w:rFonts w:hint="eastAsia" w:ascii="仿宋_GB2312" w:hAnsi="仿宋_GB2312" w:eastAsia="仿宋_GB2312" w:cs="仿宋_GB2312"/>
          <w:sz w:val="32"/>
          <w:szCs w:val="32"/>
          <w:highlight w:val="none"/>
          <w:shd w:val="clear" w:color="auto" w:fill="auto"/>
          <w:lang w:val="en-US" w:eastAsia="zh-CN"/>
        </w:rPr>
        <w:t>7121029</w:t>
      </w:r>
      <w:r>
        <w:rPr>
          <w:rFonts w:hint="eastAsia" w:ascii="仿宋_GB2312" w:hAnsi="仿宋_GB2312" w:eastAsia="仿宋_GB2312" w:cs="仿宋_GB2312"/>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4" w:name="103"/>
      <w:bookmarkEnd w:id="4"/>
      <w:r>
        <w:rPr>
          <w:rFonts w:hint="eastAsia" w:ascii="仿宋_GB2312" w:hAnsi="仿宋_GB2312" w:eastAsia="仿宋_GB2312" w:cs="仿宋_GB2312"/>
          <w:b/>
          <w:bCs/>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（二）本宗地竞买保证金到账截止时间为</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15</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9时整，竞买保证金为人民币</w:t>
      </w:r>
      <w:r>
        <w:rPr>
          <w:rFonts w:hint="eastAsia" w:ascii="仿宋_GB2312" w:hAnsi="仿宋_GB2312" w:eastAsia="仿宋_GB2312" w:cs="仿宋_GB2312"/>
          <w:sz w:val="32"/>
          <w:szCs w:val="32"/>
          <w:highlight w:val="none"/>
          <w:u w:val="single"/>
          <w:shd w:val="clear" w:color="auto" w:fill="auto"/>
          <w:lang w:val="en-US" w:eastAsia="zh-CN"/>
        </w:rPr>
        <w:t>壹仟伍佰捌拾柒万元整</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1587</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中信银行股份有限公司惠州分行。(备注:中信银行股份有限公司惠州分行本行</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须到银行柜面办理)。</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5" w:name="107"/>
      <w:r>
        <w:rPr>
          <w:rFonts w:hint="eastAsia" w:ascii="仿宋_GB2312" w:hAnsi="仿宋_GB2312" w:eastAsia="仿宋_GB2312" w:cs="仿宋_GB2312"/>
          <w:b/>
          <w:bCs/>
          <w:sz w:val="32"/>
          <w:szCs w:val="32"/>
          <w:highlight w:val="none"/>
          <w:shd w:val="clear" w:color="auto" w:fill="auto"/>
        </w:rPr>
        <w:t>十三、</w:t>
      </w:r>
      <w:bookmarkEnd w:id="5"/>
      <w:r>
        <w:rPr>
          <w:rFonts w:hint="eastAsia" w:ascii="仿宋_GB2312" w:hAnsi="仿宋_GB2312" w:eastAsia="仿宋_GB2312" w:cs="仿宋_GB2312"/>
          <w:b/>
          <w:bCs/>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土地与矿业交易系统竞买人操作视频</w:t>
      </w:r>
      <w:r>
        <w:rPr>
          <w:rFonts w:hint="eastAsia" w:ascii="仿宋_GB2312" w:hAnsi="仿宋_GB2312" w:eastAsia="仿宋_GB2312" w:cs="仿宋_GB2312"/>
          <w:sz w:val="32"/>
          <w:szCs w:val="32"/>
          <w:highlight w:val="none"/>
          <w:shd w:val="clear" w:color="auto" w:fill="auto"/>
          <w:lang w:val="en-US" w:eastAsia="zh-CN"/>
        </w:rPr>
        <w:t>可在</w:t>
      </w:r>
      <w:r>
        <w:rPr>
          <w:rFonts w:hint="eastAsia" w:ascii="仿宋_GB2312" w:hAnsi="仿宋_GB2312" w:eastAsia="仿宋_GB2312" w:cs="仿宋_GB2312"/>
          <w:sz w:val="32"/>
          <w:szCs w:val="32"/>
          <w:highlight w:val="none"/>
          <w:shd w:val="clear" w:color="auto" w:fill="auto"/>
        </w:rPr>
        <w:t>本中心网上挂牌交易系</w:t>
      </w:r>
      <w:r>
        <w:rPr>
          <w:rFonts w:hint="eastAsia" w:ascii="仿宋_GB2312" w:hAnsi="仿宋_GB2312" w:eastAsia="仿宋_GB2312" w:cs="仿宋_GB2312"/>
          <w:sz w:val="32"/>
          <w:szCs w:val="32"/>
          <w:highlight w:val="none"/>
          <w:shd w:val="clear" w:color="auto" w:fill="auto"/>
          <w:lang w:val="en-US" w:eastAsia="zh-CN"/>
        </w:rPr>
        <w:t>统</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十五、</w:t>
      </w:r>
      <w:bookmarkEnd w:id="6"/>
      <w:r>
        <w:rPr>
          <w:rFonts w:hint="eastAsia" w:ascii="仿宋_GB2312" w:hAnsi="仿宋_GB2312" w:eastAsia="仿宋_GB2312" w:cs="仿宋_GB2312"/>
          <w:b/>
          <w:bCs/>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sz w:val="32"/>
          <w:szCs w:val="32"/>
          <w:highlight w:val="none"/>
          <w:shd w:val="clear" w:color="auto" w:fill="auto"/>
          <w:lang w:val="en-US" w:eastAsia="zh-CN"/>
        </w:rPr>
        <w:t>录</w:t>
      </w:r>
      <w:r>
        <w:rPr>
          <w:rFonts w:hint="eastAsia" w:ascii="仿宋_GB2312" w:hAnsi="仿宋_GB2312" w:eastAsia="仿宋_GB2312" w:cs="仿宋_GB2312"/>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2、网上挂牌交易</w:t>
      </w:r>
      <w:r>
        <w:rPr>
          <w:rFonts w:hint="eastAsia" w:ascii="仿宋_GB2312" w:hAnsi="仿宋_GB2312" w:eastAsia="仿宋_GB2312" w:cs="仿宋_GB2312"/>
          <w:sz w:val="32"/>
          <w:szCs w:val="32"/>
          <w:highlight w:val="none"/>
          <w:shd w:val="clear" w:color="auto" w:fill="auto"/>
          <w:lang w:val="en-US" w:eastAsia="zh-CN"/>
        </w:rPr>
        <w:t>期限截止时，无人报价的，挂牌不成交</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sz w:val="32"/>
          <w:szCs w:val="32"/>
          <w:highlight w:val="none"/>
          <w:shd w:val="clear" w:color="auto" w:fill="auto"/>
          <w:lang w:val="en-US"/>
        </w:rPr>
      </w:pPr>
      <w:r>
        <w:rPr>
          <w:rFonts w:hint="eastAsia" w:ascii="仿宋_GB2312" w:hAnsi="仿宋_GB2312" w:eastAsia="仿宋_GB2312" w:cs="仿宋_GB2312"/>
          <w:sz w:val="32"/>
          <w:szCs w:val="32"/>
          <w:highlight w:val="none"/>
          <w:shd w:val="clear" w:color="auto" w:fill="auto"/>
        </w:rPr>
        <w:t>3、网上挂牌交易</w:t>
      </w:r>
      <w:r>
        <w:rPr>
          <w:rFonts w:hint="eastAsia" w:ascii="仿宋_GB2312" w:hAnsi="仿宋_GB2312" w:eastAsia="仿宋_GB2312" w:cs="仿宋_GB2312"/>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sz w:val="32"/>
          <w:szCs w:val="32"/>
          <w:highlight w:val="none"/>
          <w:shd w:val="clear" w:color="auto" w:fill="auto"/>
          <w:lang w:val="en-US" w:eastAsia="zh-CN"/>
        </w:rPr>
        <w:t>且报价不低于起始价者</w:t>
      </w:r>
      <w:r>
        <w:rPr>
          <w:rFonts w:hint="eastAsia" w:ascii="仿宋_GB2312" w:hAnsi="仿宋_GB2312" w:eastAsia="仿宋_GB2312" w:cs="仿宋_GB2312"/>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sz w:val="32"/>
          <w:szCs w:val="32"/>
          <w:highlight w:val="none"/>
          <w:shd w:val="clear" w:color="auto" w:fill="auto"/>
          <w:lang w:val="en-US" w:eastAsia="zh-CN"/>
        </w:rPr>
        <w:t>以</w:t>
      </w:r>
      <w:r>
        <w:rPr>
          <w:rFonts w:hint="eastAsia" w:ascii="仿宋_GB2312" w:hAnsi="仿宋_GB2312" w:eastAsia="仿宋_GB2312" w:cs="仿宋_GB2312"/>
          <w:sz w:val="32"/>
          <w:szCs w:val="32"/>
          <w:highlight w:val="none"/>
          <w:shd w:val="clear" w:color="auto" w:fill="auto"/>
        </w:rPr>
        <w:t>网上挂牌交易</w:t>
      </w:r>
      <w:r>
        <w:rPr>
          <w:rFonts w:hint="eastAsia" w:ascii="仿宋_GB2312" w:hAnsi="仿宋_GB2312" w:eastAsia="仿宋_GB2312" w:cs="仿宋_GB2312"/>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2、竞得人应当在网上挂牌交易结果公布</w:t>
      </w:r>
      <w:r>
        <w:rPr>
          <w:rFonts w:hint="eastAsia" w:ascii="仿宋_GB2312" w:hAnsi="仿宋_GB2312" w:eastAsia="仿宋_GB2312" w:cs="仿宋_GB2312"/>
          <w:sz w:val="32"/>
          <w:szCs w:val="32"/>
          <w:highlight w:val="none"/>
          <w:shd w:val="clear" w:color="auto" w:fill="auto"/>
          <w:lang w:val="en-US" w:eastAsia="zh-CN"/>
        </w:rPr>
        <w:t>之日起5</w:t>
      </w:r>
      <w:r>
        <w:rPr>
          <w:rFonts w:hint="eastAsia" w:ascii="仿宋_GB2312" w:hAnsi="仿宋_GB2312" w:eastAsia="仿宋_GB2312" w:cs="仿宋_GB2312"/>
          <w:sz w:val="32"/>
          <w:szCs w:val="32"/>
          <w:highlight w:val="none"/>
          <w:shd w:val="clear" w:color="auto" w:fill="auto"/>
        </w:rPr>
        <w:t>个工作日内持公司公章及下列有关纸质材料到本中心进行</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（4）</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凭证复印件（加盖公章）</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（6）法定代表人身份证复印件（加盖公章）（二份</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b w:val="0"/>
          <w:bCs w:val="0"/>
          <w:color w:val="000000"/>
          <w:kern w:val="0"/>
          <w:sz w:val="32"/>
          <w:szCs w:val="32"/>
          <w:lang w:val="en-US" w:eastAsia="zh-CN"/>
        </w:rPr>
        <w:t>竞买人与惠州市惠城区高新科技产业园管理委员会签订的</w:t>
      </w:r>
      <w:r>
        <w:rPr>
          <w:rFonts w:hint="eastAsia" w:ascii="仿宋_GB2312" w:hAnsi="宋体" w:eastAsia="仿宋_GB2312" w:cs="宋体"/>
          <w:color w:val="auto"/>
          <w:kern w:val="0"/>
          <w:sz w:val="32"/>
          <w:szCs w:val="32"/>
          <w:highlight w:val="none"/>
          <w:shd w:val="clear" w:color="auto" w:fill="auto"/>
        </w:rPr>
        <w:t>《项目</w:t>
      </w:r>
      <w:r>
        <w:rPr>
          <w:rFonts w:hint="eastAsia" w:ascii="仿宋_GB2312" w:hAnsi="宋体" w:eastAsia="仿宋_GB2312" w:cs="宋体"/>
          <w:color w:val="auto"/>
          <w:kern w:val="0"/>
          <w:sz w:val="32"/>
          <w:szCs w:val="32"/>
          <w:highlight w:val="none"/>
          <w:shd w:val="clear" w:color="auto" w:fill="auto"/>
          <w:lang w:val="en-US" w:eastAsia="zh-CN"/>
        </w:rPr>
        <w:t>实施</w:t>
      </w:r>
      <w:r>
        <w:rPr>
          <w:rFonts w:hint="eastAsia" w:ascii="仿宋_GB2312" w:hAnsi="宋体" w:eastAsia="仿宋_GB2312" w:cs="宋体"/>
          <w:color w:val="auto"/>
          <w:kern w:val="0"/>
          <w:sz w:val="32"/>
          <w:szCs w:val="32"/>
          <w:highlight w:val="none"/>
          <w:shd w:val="clear" w:color="auto" w:fill="auto"/>
        </w:rPr>
        <w:t>监管协议书》。</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rPr>
        <w:t>提交惠城区发改局出具的与该宗地块规划确定的产业类型一致的优先发展产业项目文件。</w:t>
      </w:r>
    </w:p>
    <w:p>
      <w:pPr>
        <w:pStyle w:val="2"/>
        <w:shd w:val="clear"/>
        <w:ind w:left="0" w:leftChars="0" w:firstLine="640" w:firstLineChars="200"/>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（11）竞买</w:t>
      </w:r>
      <w:r>
        <w:rPr>
          <w:rFonts w:hint="eastAsia" w:ascii="仿宋_GB2312" w:hAnsi="仿宋_GB2312" w:eastAsia="仿宋_GB2312" w:cs="仿宋_GB2312"/>
          <w:sz w:val="32"/>
          <w:szCs w:val="32"/>
          <w:highlight w:val="none"/>
          <w:shd w:val="clear" w:color="auto" w:fill="auto"/>
        </w:rPr>
        <w:t>人及其控股股东</w:t>
      </w:r>
      <w:r>
        <w:rPr>
          <w:rFonts w:hint="eastAsia" w:ascii="仿宋_GB2312" w:hAnsi="仿宋_GB2312" w:eastAsia="仿宋_GB2312" w:cs="仿宋_GB2312"/>
          <w:sz w:val="32"/>
          <w:szCs w:val="32"/>
          <w:highlight w:val="none"/>
          <w:shd w:val="clear" w:color="auto" w:fill="auto"/>
          <w:lang w:val="en-US" w:eastAsia="zh-CN"/>
        </w:rPr>
        <w:t>不</w:t>
      </w:r>
      <w:r>
        <w:rPr>
          <w:rFonts w:hint="eastAsia" w:ascii="仿宋_GB2312" w:hAnsi="仿宋_GB2312" w:eastAsia="仿宋_GB2312" w:cs="仿宋_GB2312"/>
          <w:sz w:val="32"/>
          <w:szCs w:val="32"/>
          <w:highlight w:val="none"/>
          <w:shd w:val="clear" w:color="auto" w:fill="auto"/>
        </w:rPr>
        <w:t>存在违法、违规、违约行为的</w:t>
      </w:r>
      <w:r>
        <w:rPr>
          <w:rFonts w:hint="eastAsia" w:ascii="仿宋_GB2312" w:hAnsi="仿宋_GB2312" w:eastAsia="仿宋_GB2312" w:cs="仿宋_GB2312"/>
          <w:sz w:val="32"/>
          <w:szCs w:val="32"/>
          <w:highlight w:val="none"/>
          <w:shd w:val="clear" w:color="auto" w:fill="auto"/>
          <w:lang w:val="en-US" w:eastAsia="zh-CN"/>
        </w:rPr>
        <w:t>承诺书</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上述第（</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上述文件中，申请书必须用中文书写，其他文件可以使用其它语言，但必须附中文译本，所有文件的解释以中文译本为准。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7" w:name="108"/>
      <w:r>
        <w:rPr>
          <w:rFonts w:hint="eastAsia" w:ascii="仿宋_GB2312" w:hAnsi="仿宋_GB2312" w:eastAsia="仿宋_GB2312" w:cs="仿宋_GB2312"/>
          <w:b/>
          <w:bCs/>
          <w:sz w:val="32"/>
          <w:szCs w:val="32"/>
          <w:highlight w:val="none"/>
          <w:shd w:val="clear" w:color="auto" w:fill="auto"/>
        </w:rPr>
        <w:t>十六、</w:t>
      </w:r>
      <w:bookmarkEnd w:id="7"/>
      <w:r>
        <w:rPr>
          <w:rFonts w:hint="eastAsia" w:ascii="仿宋_GB2312" w:hAnsi="仿宋_GB2312" w:eastAsia="仿宋_GB2312" w:cs="仿宋_GB2312"/>
          <w:b/>
          <w:bCs/>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（二）本次国有建设用地使用权网上挂牌出让为无底价挂牌出让，按照价高者得的原则确定竞得人。</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shd w:val="clear" w:color="auto" w:fill="auto"/>
        </w:rPr>
      </w:pPr>
      <w:r>
        <w:rPr>
          <w:rFonts w:hint="eastAsia" w:hAnsi="仿宋_GB2312" w:cs="仿宋_GB2312"/>
          <w:szCs w:val="32"/>
        </w:rPr>
        <w:t>（</w:t>
      </w:r>
      <w:r>
        <w:rPr>
          <w:rFonts w:hint="eastAsia" w:hAnsi="仿宋_GB2312" w:cs="仿宋_GB2312"/>
          <w:szCs w:val="32"/>
          <w:lang w:val="en-US" w:eastAsia="zh-CN"/>
        </w:rPr>
        <w:t>四</w:t>
      </w:r>
      <w:r>
        <w:rPr>
          <w:rFonts w:hint="eastAsia" w:hAnsi="仿宋_GB2312" w:cs="仿宋_GB231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）确定竞得人后，竞得人持《</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网上挂牌系统确定成交后，竞得人缴纳的竞买保证金按</w:t>
      </w:r>
      <w:r>
        <w:rPr>
          <w:rFonts w:hint="eastAsia" w:ascii="仿宋_GB2312" w:hAnsi="仿宋_GB2312" w:eastAsia="仿宋_GB2312" w:cs="仿宋_GB2312"/>
          <w:sz w:val="32"/>
          <w:szCs w:val="32"/>
          <w:highlight w:val="none"/>
          <w:shd w:val="clear" w:color="auto" w:fill="auto"/>
          <w:lang w:val="en-US" w:eastAsia="zh-CN"/>
        </w:rPr>
        <w:t>成交价的</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sz w:val="32"/>
          <w:szCs w:val="32"/>
          <w:highlight w:val="none"/>
          <w:shd w:val="clear" w:color="auto" w:fill="auto"/>
          <w:lang w:val="en-US" w:eastAsia="zh-CN"/>
        </w:rPr>
        <w:t>转作</w:t>
      </w:r>
      <w:r>
        <w:rPr>
          <w:rFonts w:hint="eastAsia" w:ascii="仿宋_GB2312" w:hAnsi="仿宋_GB2312" w:eastAsia="仿宋_GB2312" w:cs="仿宋_GB2312"/>
          <w:sz w:val="32"/>
          <w:szCs w:val="32"/>
          <w:highlight w:val="none"/>
          <w:shd w:val="clear" w:color="auto" w:fill="auto"/>
        </w:rPr>
        <w:t>定金</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如</w:t>
      </w:r>
      <w:r>
        <w:rPr>
          <w:rFonts w:hint="eastAsia" w:ascii="仿宋_GB2312" w:hAnsi="仿宋_GB2312" w:eastAsia="仿宋_GB2312" w:cs="仿宋_GB2312"/>
          <w:sz w:val="32"/>
          <w:szCs w:val="32"/>
          <w:highlight w:val="none"/>
          <w:shd w:val="clear" w:color="auto" w:fill="auto"/>
          <w:lang w:eastAsia="zh-CN"/>
        </w:rPr>
        <w:t>竞买保证金</w:t>
      </w:r>
      <w:r>
        <w:rPr>
          <w:rFonts w:hint="eastAsia" w:ascii="仿宋_GB2312" w:hAnsi="仿宋_GB2312" w:eastAsia="仿宋_GB2312" w:cs="仿宋_GB2312"/>
          <w:sz w:val="32"/>
          <w:szCs w:val="32"/>
          <w:highlight w:val="none"/>
          <w:shd w:val="clear" w:color="auto" w:fill="auto"/>
          <w:lang w:val="en-US" w:eastAsia="zh-CN"/>
        </w:rPr>
        <w:t>不足以缴纳定金，</w:t>
      </w:r>
      <w:r>
        <w:rPr>
          <w:rFonts w:hint="eastAsia" w:ascii="仿宋_GB2312" w:hAnsi="仿宋_GB2312" w:eastAsia="仿宋_GB2312" w:cs="仿宋_GB2312"/>
          <w:sz w:val="32"/>
          <w:szCs w:val="32"/>
          <w:highlight w:val="none"/>
          <w:shd w:val="clear" w:color="auto" w:fill="auto"/>
        </w:rPr>
        <w:t>不足部分在交易系统确定成交之日起5个工作日内补齐</w:t>
      </w:r>
      <w:r>
        <w:rPr>
          <w:rFonts w:hint="eastAsia" w:ascii="仿宋_GB2312" w:hAnsi="仿宋_GB2312" w:eastAsia="仿宋_GB2312" w:cs="仿宋_GB2312"/>
          <w:sz w:val="32"/>
          <w:szCs w:val="32"/>
          <w:highlight w:val="none"/>
          <w:shd w:val="clear" w:color="auto" w:fill="auto"/>
          <w:lang w:eastAsia="zh-CN"/>
        </w:rPr>
        <w:t>；如竞买保证金转作定金</w:t>
      </w:r>
      <w:r>
        <w:rPr>
          <w:rFonts w:hint="eastAsia" w:ascii="仿宋_GB2312" w:hAnsi="仿宋_GB2312" w:eastAsia="仿宋_GB2312" w:cs="仿宋_GB2312"/>
          <w:sz w:val="32"/>
          <w:szCs w:val="32"/>
          <w:highlight w:val="none"/>
          <w:shd w:val="clear" w:color="auto" w:fill="auto"/>
          <w:lang w:val="en-US" w:eastAsia="zh-CN"/>
        </w:rPr>
        <w:t>后有剩余</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余额抵作</w:t>
      </w:r>
      <w:r>
        <w:rPr>
          <w:rFonts w:hint="eastAsia" w:ascii="仿宋_GB2312" w:hAnsi="仿宋_GB2312" w:eastAsia="仿宋_GB2312" w:cs="仿宋_GB2312"/>
          <w:sz w:val="32"/>
          <w:szCs w:val="32"/>
          <w:highlight w:val="none"/>
          <w:shd w:val="clear" w:color="auto" w:fill="auto"/>
          <w:lang w:val="en-US" w:eastAsia="zh-CN"/>
        </w:rPr>
        <w:t>土地</w:t>
      </w:r>
      <w:r>
        <w:rPr>
          <w:rFonts w:hint="eastAsia" w:ascii="仿宋_GB2312" w:hAnsi="仿宋_GB2312" w:eastAsia="仿宋_GB2312" w:cs="仿宋_GB2312"/>
          <w:sz w:val="32"/>
          <w:szCs w:val="32"/>
          <w:highlight w:val="none"/>
          <w:shd w:val="clear" w:color="auto" w:fill="auto"/>
        </w:rPr>
        <w:t>成交价</w:t>
      </w:r>
      <w:r>
        <w:rPr>
          <w:rFonts w:hint="eastAsia" w:ascii="仿宋_GB2312" w:hAnsi="仿宋_GB2312" w:eastAsia="仿宋_GB2312" w:cs="仿宋_GB2312"/>
          <w:sz w:val="32"/>
          <w:szCs w:val="32"/>
          <w:highlight w:val="none"/>
          <w:shd w:val="clear" w:color="auto" w:fill="auto"/>
          <w:lang w:val="en-US" w:eastAsia="zh-CN"/>
        </w:rPr>
        <w:t>的预付</w:t>
      </w:r>
      <w:r>
        <w:rPr>
          <w:rFonts w:hint="eastAsia" w:ascii="仿宋_GB2312" w:hAnsi="仿宋_GB2312" w:eastAsia="仿宋_GB2312" w:cs="仿宋_GB2312"/>
          <w:sz w:val="32"/>
          <w:szCs w:val="32"/>
          <w:highlight w:val="none"/>
          <w:shd w:val="clear" w:color="auto" w:fill="auto"/>
        </w:rPr>
        <w:t>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pStyle w:val="2"/>
        <w:shd w:val="clear"/>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八</w:t>
      </w:r>
      <w:r>
        <w:rPr>
          <w:rFonts w:hint="eastAsia" w:ascii="仿宋_GB2312" w:hAnsi="仿宋_GB2312" w:eastAsia="仿宋_GB2312" w:cs="仿宋_GB2312"/>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eastAsia="仿宋_GB2312"/>
          <w:sz w:val="32"/>
          <w:szCs w:val="32"/>
          <w:highlight w:val="none"/>
          <w:shd w:val="clear" w:color="auto" w:fill="auto"/>
        </w:rPr>
        <w:t>6、</w:t>
      </w:r>
      <w:r>
        <w:rPr>
          <w:rFonts w:hint="eastAsia" w:ascii="仿宋_GB2312" w:eastAsia="仿宋_GB2312"/>
          <w:sz w:val="32"/>
          <w:szCs w:val="32"/>
          <w:highlight w:val="none"/>
          <w:shd w:val="clear" w:color="auto" w:fill="auto"/>
          <w:lang w:val="en-US" w:eastAsia="zh-CN"/>
        </w:rPr>
        <w:t>惠州</w:t>
      </w:r>
      <w:r>
        <w:rPr>
          <w:rFonts w:hint="eastAsia" w:ascii="仿宋_GB2312" w:eastAsia="仿宋_GB2312"/>
          <w:sz w:val="32"/>
          <w:szCs w:val="32"/>
          <w:highlight w:val="none"/>
          <w:shd w:val="clear" w:color="auto" w:fill="auto"/>
        </w:rPr>
        <w:t>市</w:t>
      </w:r>
      <w:r>
        <w:rPr>
          <w:rFonts w:hint="eastAsia" w:ascii="仿宋_GB2312" w:eastAsia="仿宋_GB2312"/>
          <w:sz w:val="32"/>
          <w:szCs w:val="32"/>
          <w:highlight w:val="none"/>
          <w:shd w:val="clear" w:color="auto" w:fill="auto"/>
          <w:lang w:val="en-US" w:eastAsia="zh-CN"/>
        </w:rPr>
        <w:t>惠城区</w:t>
      </w:r>
      <w:r>
        <w:rPr>
          <w:rFonts w:hint="eastAsia" w:ascii="仿宋_GB2312" w:eastAsia="仿宋_GB2312"/>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九</w:t>
      </w:r>
      <w:r>
        <w:rPr>
          <w:rFonts w:hint="eastAsia" w:ascii="仿宋_GB2312" w:hAnsi="仿宋_GB2312" w:eastAsia="仿宋_GB2312" w:cs="仿宋_GB2312"/>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eastAsia="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一</w:t>
      </w:r>
      <w:r>
        <w:rPr>
          <w:rFonts w:hint="eastAsia" w:ascii="仿宋_GB2312" w:hAnsi="仿宋_GB2312" w:eastAsia="仿宋_GB2312" w:cs="仿宋_GB2312"/>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）本中心对本《须知》有解释权。未尽事宜依照《招标拍卖挂牌出让国有土地使用权规范》办理。</w:t>
      </w:r>
    </w:p>
    <w:p>
      <w:pPr>
        <w:pStyle w:val="2"/>
        <w:shd w:val="clear"/>
        <w:rPr>
          <w:highlight w:val="none"/>
          <w:shd w:val="clear" w:color="auto" w:fill="auto"/>
        </w:rPr>
      </w:pPr>
    </w:p>
    <w:p>
      <w:pPr>
        <w:pStyle w:val="2"/>
        <w:shd w:val="clear"/>
        <w:rPr>
          <w:highlight w:val="none"/>
          <w:shd w:val="clear" w:color="auto" w:fill="auto"/>
        </w:rPr>
      </w:pPr>
    </w:p>
    <w:p>
      <w:pPr>
        <w:shd w:val="clear"/>
        <w:tabs>
          <w:tab w:val="left" w:pos="3388"/>
        </w:tabs>
        <w:ind w:firstLine="4640" w:firstLineChars="14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2022年3月10</w:t>
      </w:r>
      <w:bookmarkStart w:id="8" w:name="_GoBack"/>
      <w:bookmarkEnd w:id="8"/>
      <w:r>
        <w:rPr>
          <w:rFonts w:hint="eastAsia" w:ascii="仿宋_GB2312" w:hAnsi="仿宋_GB2312" w:eastAsia="仿宋_GB2312" w:cs="仿宋_GB2312"/>
          <w:color w:val="auto"/>
          <w:sz w:val="32"/>
          <w:szCs w:val="32"/>
          <w:highlight w:val="none"/>
          <w:shd w:val="clear" w:color="auto" w:fill="auto"/>
          <w:lang w:val="en-US" w:eastAsia="zh-CN"/>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C0211A"/>
    <w:multiLevelType w:val="singleLevel"/>
    <w:tmpl w:val="32C0211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B51C7D"/>
    <w:rsid w:val="02924845"/>
    <w:rsid w:val="031A11BD"/>
    <w:rsid w:val="042C6BAB"/>
    <w:rsid w:val="04BB2A35"/>
    <w:rsid w:val="04F7599A"/>
    <w:rsid w:val="05280DC9"/>
    <w:rsid w:val="054F511E"/>
    <w:rsid w:val="05616BEE"/>
    <w:rsid w:val="05AA6043"/>
    <w:rsid w:val="065D58C0"/>
    <w:rsid w:val="06E22DF8"/>
    <w:rsid w:val="071F73B3"/>
    <w:rsid w:val="077D5D24"/>
    <w:rsid w:val="07F629A0"/>
    <w:rsid w:val="091E26EA"/>
    <w:rsid w:val="09317644"/>
    <w:rsid w:val="0A771CCA"/>
    <w:rsid w:val="0A812477"/>
    <w:rsid w:val="0B1406EF"/>
    <w:rsid w:val="0C40433F"/>
    <w:rsid w:val="0C8642BF"/>
    <w:rsid w:val="0D261A5B"/>
    <w:rsid w:val="0DCB3B54"/>
    <w:rsid w:val="0FB217AF"/>
    <w:rsid w:val="0FB2799E"/>
    <w:rsid w:val="10152918"/>
    <w:rsid w:val="105A2768"/>
    <w:rsid w:val="10A1573B"/>
    <w:rsid w:val="10B43BC1"/>
    <w:rsid w:val="111E117E"/>
    <w:rsid w:val="11A17A14"/>
    <w:rsid w:val="12295A9F"/>
    <w:rsid w:val="141106B3"/>
    <w:rsid w:val="148C48E3"/>
    <w:rsid w:val="14924D3E"/>
    <w:rsid w:val="14D40026"/>
    <w:rsid w:val="15BB632B"/>
    <w:rsid w:val="15C4392F"/>
    <w:rsid w:val="15D340EA"/>
    <w:rsid w:val="16615977"/>
    <w:rsid w:val="168C318D"/>
    <w:rsid w:val="16AE6DA7"/>
    <w:rsid w:val="170F4C1C"/>
    <w:rsid w:val="18220C10"/>
    <w:rsid w:val="1960257D"/>
    <w:rsid w:val="19D941D6"/>
    <w:rsid w:val="1C431BA6"/>
    <w:rsid w:val="1CB6407B"/>
    <w:rsid w:val="1D717DCD"/>
    <w:rsid w:val="1DE56E00"/>
    <w:rsid w:val="1E4A3E3B"/>
    <w:rsid w:val="1E9B31A0"/>
    <w:rsid w:val="1ED73189"/>
    <w:rsid w:val="1F1E4268"/>
    <w:rsid w:val="1F2C083B"/>
    <w:rsid w:val="20855E22"/>
    <w:rsid w:val="21587C67"/>
    <w:rsid w:val="22463965"/>
    <w:rsid w:val="2249566B"/>
    <w:rsid w:val="22661D8C"/>
    <w:rsid w:val="22DC01FC"/>
    <w:rsid w:val="23141DA3"/>
    <w:rsid w:val="247C6354"/>
    <w:rsid w:val="259D34B7"/>
    <w:rsid w:val="25D63F7C"/>
    <w:rsid w:val="25E54340"/>
    <w:rsid w:val="26391FD0"/>
    <w:rsid w:val="26741665"/>
    <w:rsid w:val="272C05B0"/>
    <w:rsid w:val="281D1027"/>
    <w:rsid w:val="282C1E6E"/>
    <w:rsid w:val="28D2352A"/>
    <w:rsid w:val="28ED736B"/>
    <w:rsid w:val="29220F8B"/>
    <w:rsid w:val="29DE5841"/>
    <w:rsid w:val="2A4D2521"/>
    <w:rsid w:val="2A636D11"/>
    <w:rsid w:val="2AA45603"/>
    <w:rsid w:val="2B1A2077"/>
    <w:rsid w:val="2CA246FC"/>
    <w:rsid w:val="2CAE2771"/>
    <w:rsid w:val="2CD752D7"/>
    <w:rsid w:val="2D027EED"/>
    <w:rsid w:val="2D2632FD"/>
    <w:rsid w:val="2DEB4267"/>
    <w:rsid w:val="2F0337D6"/>
    <w:rsid w:val="2F944F64"/>
    <w:rsid w:val="2FA2409E"/>
    <w:rsid w:val="30AC5587"/>
    <w:rsid w:val="30DB33EE"/>
    <w:rsid w:val="313D23E2"/>
    <w:rsid w:val="31880862"/>
    <w:rsid w:val="31B60A9D"/>
    <w:rsid w:val="324E22EE"/>
    <w:rsid w:val="33A33367"/>
    <w:rsid w:val="33CE0AAA"/>
    <w:rsid w:val="34B40523"/>
    <w:rsid w:val="34C41D04"/>
    <w:rsid w:val="34CD617E"/>
    <w:rsid w:val="3588604B"/>
    <w:rsid w:val="360B04FE"/>
    <w:rsid w:val="378C6660"/>
    <w:rsid w:val="37FB7A76"/>
    <w:rsid w:val="38703C12"/>
    <w:rsid w:val="38DE5E51"/>
    <w:rsid w:val="390E539D"/>
    <w:rsid w:val="3B06746C"/>
    <w:rsid w:val="3B616403"/>
    <w:rsid w:val="3C4A4143"/>
    <w:rsid w:val="3C5E598F"/>
    <w:rsid w:val="3C8F0E4F"/>
    <w:rsid w:val="3CAD2EC5"/>
    <w:rsid w:val="3CB81CC8"/>
    <w:rsid w:val="3D322E34"/>
    <w:rsid w:val="3D34683B"/>
    <w:rsid w:val="3D5E1016"/>
    <w:rsid w:val="3F3F4FAD"/>
    <w:rsid w:val="3FB91BA4"/>
    <w:rsid w:val="3FC22752"/>
    <w:rsid w:val="418879B1"/>
    <w:rsid w:val="41CE7F2A"/>
    <w:rsid w:val="421630A4"/>
    <w:rsid w:val="43010898"/>
    <w:rsid w:val="432B1A76"/>
    <w:rsid w:val="43E840B4"/>
    <w:rsid w:val="43EC1655"/>
    <w:rsid w:val="440C4340"/>
    <w:rsid w:val="4442558E"/>
    <w:rsid w:val="44811DC9"/>
    <w:rsid w:val="44D36207"/>
    <w:rsid w:val="450E3C66"/>
    <w:rsid w:val="454309A1"/>
    <w:rsid w:val="458C06A8"/>
    <w:rsid w:val="45C47203"/>
    <w:rsid w:val="45E829E7"/>
    <w:rsid w:val="465E4F22"/>
    <w:rsid w:val="467262F8"/>
    <w:rsid w:val="46DA05EA"/>
    <w:rsid w:val="46F579AB"/>
    <w:rsid w:val="48566E44"/>
    <w:rsid w:val="48593E6F"/>
    <w:rsid w:val="48B510E7"/>
    <w:rsid w:val="493B6F1B"/>
    <w:rsid w:val="4AFF2E69"/>
    <w:rsid w:val="4B8E7FA9"/>
    <w:rsid w:val="4BA610FC"/>
    <w:rsid w:val="4BEE1CA4"/>
    <w:rsid w:val="4CF51C39"/>
    <w:rsid w:val="4D1F6077"/>
    <w:rsid w:val="4DC8070E"/>
    <w:rsid w:val="4ED2701A"/>
    <w:rsid w:val="4F1E4BBE"/>
    <w:rsid w:val="4F3537ED"/>
    <w:rsid w:val="4FFE1B2F"/>
    <w:rsid w:val="51467837"/>
    <w:rsid w:val="51660328"/>
    <w:rsid w:val="52132F5D"/>
    <w:rsid w:val="528F1625"/>
    <w:rsid w:val="52AA5DFE"/>
    <w:rsid w:val="533F6C66"/>
    <w:rsid w:val="544F17E9"/>
    <w:rsid w:val="546D5003"/>
    <w:rsid w:val="54943EAC"/>
    <w:rsid w:val="54C11818"/>
    <w:rsid w:val="58AC5C79"/>
    <w:rsid w:val="58B217DC"/>
    <w:rsid w:val="58FE24B1"/>
    <w:rsid w:val="59693A9B"/>
    <w:rsid w:val="5A154FE3"/>
    <w:rsid w:val="5AEE4F52"/>
    <w:rsid w:val="5B0C2732"/>
    <w:rsid w:val="5B1D2CCC"/>
    <w:rsid w:val="5B52670E"/>
    <w:rsid w:val="5B625B54"/>
    <w:rsid w:val="5B640509"/>
    <w:rsid w:val="5B8E3054"/>
    <w:rsid w:val="5C2A6903"/>
    <w:rsid w:val="5C943765"/>
    <w:rsid w:val="5D006096"/>
    <w:rsid w:val="5D731ABE"/>
    <w:rsid w:val="5DB15592"/>
    <w:rsid w:val="5DF81F1B"/>
    <w:rsid w:val="5DFB50B1"/>
    <w:rsid w:val="5E2E0948"/>
    <w:rsid w:val="5EE41DB0"/>
    <w:rsid w:val="600D408B"/>
    <w:rsid w:val="610A5EBF"/>
    <w:rsid w:val="61245A3C"/>
    <w:rsid w:val="6178185B"/>
    <w:rsid w:val="617F00E3"/>
    <w:rsid w:val="61C04C47"/>
    <w:rsid w:val="61C170AA"/>
    <w:rsid w:val="626D5569"/>
    <w:rsid w:val="62D03E81"/>
    <w:rsid w:val="62D41879"/>
    <w:rsid w:val="6398078D"/>
    <w:rsid w:val="641A28B3"/>
    <w:rsid w:val="648A18F5"/>
    <w:rsid w:val="64C30585"/>
    <w:rsid w:val="651C53A6"/>
    <w:rsid w:val="656B5E9D"/>
    <w:rsid w:val="659D6FA9"/>
    <w:rsid w:val="65F2007E"/>
    <w:rsid w:val="66C13377"/>
    <w:rsid w:val="67927D39"/>
    <w:rsid w:val="68085778"/>
    <w:rsid w:val="688B43B5"/>
    <w:rsid w:val="68E63F59"/>
    <w:rsid w:val="69B07B1E"/>
    <w:rsid w:val="69E22ED5"/>
    <w:rsid w:val="6A15326A"/>
    <w:rsid w:val="6AA821A5"/>
    <w:rsid w:val="6B8A6BF3"/>
    <w:rsid w:val="6BFA1460"/>
    <w:rsid w:val="6C013F77"/>
    <w:rsid w:val="6C181FB4"/>
    <w:rsid w:val="6C197CDD"/>
    <w:rsid w:val="6C5A6DDE"/>
    <w:rsid w:val="6C611252"/>
    <w:rsid w:val="6CCC1A8E"/>
    <w:rsid w:val="6E1E50A4"/>
    <w:rsid w:val="6FCE2720"/>
    <w:rsid w:val="7020680D"/>
    <w:rsid w:val="705B684C"/>
    <w:rsid w:val="713D7851"/>
    <w:rsid w:val="714F5518"/>
    <w:rsid w:val="71AB46C8"/>
    <w:rsid w:val="72CC1A29"/>
    <w:rsid w:val="74CC0B4E"/>
    <w:rsid w:val="74D35F13"/>
    <w:rsid w:val="755C76C8"/>
    <w:rsid w:val="75E43E25"/>
    <w:rsid w:val="76382CBE"/>
    <w:rsid w:val="76B47A3E"/>
    <w:rsid w:val="77A91566"/>
    <w:rsid w:val="77E167B8"/>
    <w:rsid w:val="78591F3E"/>
    <w:rsid w:val="78CA1EAE"/>
    <w:rsid w:val="792409A3"/>
    <w:rsid w:val="7A881483"/>
    <w:rsid w:val="7AE44F5D"/>
    <w:rsid w:val="7B3065F7"/>
    <w:rsid w:val="7B4F2E9A"/>
    <w:rsid w:val="7B8363CD"/>
    <w:rsid w:val="7D5207DE"/>
    <w:rsid w:val="7F111F6F"/>
    <w:rsid w:val="7F9A6C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color w:val="555555"/>
      <w:sz w:val="21"/>
      <w:szCs w:val="21"/>
      <w:bdr w:val="single" w:color="CCCCCC" w:sz="6" w:space="0"/>
      <w:shd w:val="clear" w:fill="EEEEEE"/>
    </w:rPr>
  </w:style>
  <w:style w:type="character" w:styleId="13">
    <w:name w:val="Hyperlink"/>
    <w:basedOn w:val="9"/>
    <w:qFormat/>
    <w:uiPriority w:val="0"/>
    <w:rPr>
      <w:color w:val="337AB7"/>
      <w:u w:val="none"/>
    </w:rPr>
  </w:style>
  <w:style w:type="character" w:styleId="14">
    <w:name w:val="HTML Code"/>
    <w:basedOn w:val="9"/>
    <w:qFormat/>
    <w:uiPriority w:val="0"/>
    <w:rPr>
      <w:rFonts w:hint="default" w:ascii="Consolas" w:hAnsi="Consolas" w:eastAsia="Consolas" w:cs="Consolas"/>
      <w:color w:val="C7254E"/>
      <w:sz w:val="21"/>
      <w:szCs w:val="21"/>
      <w:shd w:val="clear" w:fill="F9F2F4"/>
    </w:rPr>
  </w:style>
  <w:style w:type="character" w:styleId="15">
    <w:name w:val="HTML Keyboard"/>
    <w:basedOn w:val="9"/>
    <w:qFormat/>
    <w:uiPriority w:val="0"/>
    <w:rPr>
      <w:rFonts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页眉 Char"/>
    <w:basedOn w:val="9"/>
    <w:link w:val="6"/>
    <w:qFormat/>
    <w:uiPriority w:val="0"/>
    <w:rPr>
      <w:rFonts w:ascii="Calibri" w:hAnsi="Calibri"/>
      <w:kern w:val="2"/>
      <w:sz w:val="18"/>
      <w:szCs w:val="18"/>
    </w:rPr>
  </w:style>
  <w:style w:type="character" w:customStyle="1" w:styleId="18">
    <w:name w:val="页脚 Char"/>
    <w:basedOn w:val="9"/>
    <w:link w:val="5"/>
    <w:qFormat/>
    <w:uiPriority w:val="99"/>
    <w:rPr>
      <w:rFonts w:ascii="Calibri" w:hAnsi="Calibri"/>
      <w:kern w:val="2"/>
      <w:sz w:val="18"/>
      <w:szCs w:val="22"/>
    </w:rPr>
  </w:style>
  <w:style w:type="character" w:customStyle="1" w:styleId="19">
    <w:name w:val="正文文本缩进 Char"/>
    <w:basedOn w:val="9"/>
    <w:link w:val="3"/>
    <w:qFormat/>
    <w:uiPriority w:val="0"/>
    <w:rPr>
      <w:rFonts w:ascii="仿宋_GB2312" w:hAnsi="华文中宋" w:eastAsia="仿宋_GB2312"/>
      <w:sz w:val="32"/>
      <w:szCs w:val="24"/>
    </w:rPr>
  </w:style>
  <w:style w:type="character" w:customStyle="1" w:styleId="20">
    <w:name w:val="actspan"/>
    <w:basedOn w:val="9"/>
    <w:qFormat/>
    <w:uiPriority w:val="0"/>
  </w:style>
  <w:style w:type="character" w:customStyle="1" w:styleId="21">
    <w:name w:val="layui-layer-tabnow"/>
    <w:basedOn w:val="9"/>
    <w:qFormat/>
    <w:uiPriority w:val="0"/>
    <w:rPr>
      <w:bdr w:val="single" w:color="CCCCCC" w:sz="6" w:space="0"/>
      <w:shd w:val="clear" w:fill="FFFFFF"/>
    </w:rPr>
  </w:style>
  <w:style w:type="character" w:customStyle="1" w:styleId="22">
    <w:name w:val="first-child"/>
    <w:basedOn w:val="9"/>
    <w:qFormat/>
    <w:uiPriority w:val="0"/>
  </w:style>
  <w:style w:type="character" w:customStyle="1" w:styleId="23">
    <w:name w:val="actspan2"/>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9</TotalTime>
  <ScaleCrop>false</ScaleCrop>
  <LinksUpToDate>false</LinksUpToDate>
  <CharactersWithSpaces>8733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叶舒</cp:lastModifiedBy>
  <cp:lastPrinted>2022-03-10T03:26:32Z</cp:lastPrinted>
  <dcterms:modified xsi:type="dcterms:W3CDTF">2022-03-10T03:26:48Z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844A8BE9FF7B4045B1B05C09266726FC</vt:lpwstr>
  </property>
</Properties>
</file>